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0346FF" w:rsidRDefault="000346FF" w:rsidP="00C0402A">
      <w:pPr>
        <w:jc w:val="center"/>
        <w:rPr>
          <w:rFonts w:asciiTheme="minorHAnsi" w:hAnsiTheme="minorHAnsi" w:cstheme="minorHAnsi"/>
          <w:b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E81E4C" w:rsidRDefault="00CB0A11" w:rsidP="000346FF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81E4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0346FF">
        <w:rPr>
          <w:rFonts w:asciiTheme="minorHAnsi" w:eastAsia="Times New Roman" w:hAnsiTheme="minorHAnsi" w:cstheme="minorHAnsi"/>
          <w:lang w:eastAsia="pt-BR"/>
        </w:rPr>
        <w:t>P</w:t>
      </w:r>
      <w:r w:rsidR="00DD365D">
        <w:rPr>
          <w:rFonts w:asciiTheme="minorHAnsi" w:eastAsia="Times New Roman" w:hAnsiTheme="minorHAnsi" w:cstheme="minorHAnsi"/>
          <w:lang w:eastAsia="pt-BR"/>
        </w:rPr>
        <w:t xml:space="preserve"> 0</w:t>
      </w:r>
      <w:r w:rsidR="00EF6D5C">
        <w:rPr>
          <w:rFonts w:asciiTheme="minorHAnsi" w:eastAsia="Times New Roman" w:hAnsiTheme="minorHAnsi" w:cstheme="minorHAnsi"/>
          <w:lang w:eastAsia="pt-BR"/>
        </w:rPr>
        <w:t>45</w:t>
      </w:r>
      <w:r w:rsidRPr="00E81E4C">
        <w:rPr>
          <w:rFonts w:asciiTheme="minorHAnsi" w:eastAsia="Times New Roman" w:hAnsiTheme="minorHAnsi" w:cstheme="minorHAnsi"/>
          <w:lang w:eastAsia="pt-BR"/>
        </w:rPr>
        <w:t>/202</w:t>
      </w:r>
      <w:r w:rsidR="00996428">
        <w:rPr>
          <w:rFonts w:asciiTheme="minorHAnsi" w:eastAsia="Times New Roman" w:hAnsiTheme="minorHAnsi" w:cstheme="minorHAnsi"/>
          <w:lang w:eastAsia="pt-BR"/>
        </w:rPr>
        <w:t>2</w:t>
      </w:r>
      <w:r w:rsidRPr="00E81E4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E81E4C" w:rsidRDefault="00CB0A11" w:rsidP="000346FF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Pedido de Esclarecimento – Pregão 045/2022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1]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tabela com os itens do objeto do edital que consta em “4. DEFINIÇÕES BÁSICAS” do Termo de Referência foi atualizada em relação a versão anterior da documentação. Entendemos que estas alterações deverão ser consideradas no Modelo da Proposta de Preços do ANEXO IV. O motivo do questionamento é que o ANEXO IV não foi alterado na nova documentação. Entendemos que a proposta de preços deverá ser apresentada para todos os itens definidos em “4. DEFINIÇÕES BÁSICAS” do Termo de Referência.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Está correto o entendimento?</w:t>
      </w:r>
    </w:p>
    <w:p w:rsidR="00EF6D5C" w:rsidRPr="00EF6D5C" w:rsidRDefault="00C34800" w:rsidP="00EF6D5C">
      <w:pPr>
        <w:keepNext/>
        <w:suppressAutoHyphens w:val="0"/>
        <w:spacing w:before="240" w:after="60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C3480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</w:t>
      </w:r>
      <w:r w:rsidR="00EF6D5C"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ESPOSTA</w:t>
      </w:r>
      <w:r w:rsidR="00EF6D5C"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A proposta de preços deverá ser apresentada com base nos itens definidos no Item 4 – Definições Básicas do Termo de referência, pág. 72, 73, 74 e também o </w:t>
      </w:r>
      <w:bookmarkStart w:id="0" w:name="_Toc98850432"/>
      <w:r w:rsidR="00EF6D5C"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ANEXO e) – PLANILHA DE PREÇOS</w:t>
      </w:r>
      <w:bookmarkEnd w:id="0"/>
      <w:r w:rsidR="00EF6D5C"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devendo ser desconsiderado o ANEXO IV. Segue abaixo a composição: </w:t>
      </w:r>
    </w:p>
    <w:p w:rsidR="00EF6D5C" w:rsidRPr="00EF6D5C" w:rsidRDefault="00EF6D5C" w:rsidP="00EF6D5C">
      <w:pPr>
        <w:keepNext/>
        <w:suppressAutoHyphens w:val="0"/>
        <w:spacing w:before="240" w:after="60"/>
        <w:ind w:left="720" w:hanging="720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ANEXO e) – PLANILHA DE PREÇOS </w:t>
      </w:r>
    </w:p>
    <w:p w:rsidR="00EF6D5C" w:rsidRPr="00EF6D5C" w:rsidRDefault="00EF6D5C" w:rsidP="00EF6D5C">
      <w:pPr>
        <w:suppressAutoHyphens w:val="0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tabs>
          <w:tab w:val="left" w:pos="284"/>
          <w:tab w:val="left" w:pos="426"/>
        </w:tabs>
        <w:suppressAutoHyphens w:val="0"/>
        <w:ind w:left="568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1.   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SERVIÇOS MENSAIS</w:t>
      </w:r>
    </w:p>
    <w:p w:rsidR="00EF6D5C" w:rsidRPr="00EF6D5C" w:rsidRDefault="00EF6D5C" w:rsidP="00EF6D5C">
      <w:pPr>
        <w:tabs>
          <w:tab w:val="left" w:pos="284"/>
          <w:tab w:val="left" w:pos="426"/>
        </w:tabs>
        <w:suppressAutoHyphens w:val="0"/>
        <w:ind w:left="568" w:hanging="284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</w:p>
    <w:tbl>
      <w:tblPr>
        <w:tblW w:w="8505" w:type="dxa"/>
        <w:tblInd w:w="-5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92"/>
        <w:gridCol w:w="3828"/>
        <w:gridCol w:w="2551"/>
        <w:gridCol w:w="1134"/>
      </w:tblGrid>
      <w:tr w:rsidR="00EF6D5C" w:rsidRPr="00EF6D5C" w:rsidTr="00F24813">
        <w:trPr>
          <w:trHeight w:val="435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  <w:t>Item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  <w:t>Descrição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  <w:t>Tipo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b/>
                <w:sz w:val="20"/>
                <w:szCs w:val="20"/>
                <w:lang w:val="en-US" w:eastAsia="ja-JP"/>
              </w:rPr>
              <w:t>Qtd</w:t>
            </w:r>
            <w:proofErr w:type="spellEnd"/>
          </w:p>
        </w:tc>
      </w:tr>
      <w:tr w:rsidR="00EF6D5C" w:rsidRPr="00EF6D5C" w:rsidTr="00F24813">
        <w:trPr>
          <w:trHeight w:val="767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FORNECIMENTO DE INFRAESTRUTURA DE REDE MPLS.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Link </w:t>
            </w: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concentrador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3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PB 50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18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PM 30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13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FORNECIMENTO DE INFRAESTRUTURA DE REDE MPLS PARA CÂMERA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PR 10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20 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PR 6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650</w:t>
            </w:r>
          </w:p>
        </w:tc>
      </w:tr>
      <w:tr w:rsidR="00EF6D5C" w:rsidRPr="00EF6D5C" w:rsidTr="00F24813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MANUTENÇÃO DO PONTO CONCENTRADOR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3</w:t>
            </w:r>
          </w:p>
        </w:tc>
      </w:tr>
      <w:tr w:rsidR="00EF6D5C" w:rsidRPr="00EF6D5C" w:rsidTr="00F24813">
        <w:trPr>
          <w:trHeight w:val="58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DE PONTO BASE (50Mbps)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18</w:t>
            </w:r>
          </w:p>
        </w:tc>
      </w:tr>
      <w:tr w:rsidR="00EF6D5C" w:rsidRPr="00EF6D5C" w:rsidTr="00F24813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DE PONTO MÉDIO (30Mbps)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13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DE PONTO REMOTO (10Mbps)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20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DE PONTO REMOTO (6Mbps)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650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 xml:space="preserve">SUPORTE E MANUTENÇÃO DE SISTEMA DE VIDEO MONITORAMENTO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DOS SERVIDORES E STORAGE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DA SALA DE MONITORAMENTO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MANUTENÇÃO E CONFIGURAÇÃO DOS SWITCH E ROTEADORES DO CPD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SUBSTITUIÇÃO DE CÂMERAS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2%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ATIVAÇÃO DE PONTO MÓVEL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</w:t>
            </w:r>
          </w:p>
        </w:tc>
      </w:tr>
      <w:tr w:rsidR="00EF6D5C" w:rsidRPr="00EF6D5C" w:rsidTr="00F24813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REMANEJAMENTO DE LINK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50</w:t>
            </w:r>
          </w:p>
        </w:tc>
      </w:tr>
      <w:tr w:rsidR="00EF6D5C" w:rsidRPr="00EF6D5C" w:rsidTr="00F24813">
        <w:trPr>
          <w:trHeight w:val="67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SUPORTE ASSISTIDO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SERVIÇO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705</w:t>
            </w:r>
          </w:p>
        </w:tc>
      </w:tr>
      <w:tr w:rsidR="00EF6D5C" w:rsidRPr="00EF6D5C" w:rsidTr="00F24813">
        <w:trPr>
          <w:trHeight w:val="69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FONECIMENTO DE LINK DE INTERNET DEDICADO/FIBRA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ID 50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4</w:t>
            </w:r>
          </w:p>
        </w:tc>
      </w:tr>
      <w:tr w:rsidR="00EF6D5C" w:rsidRPr="00EF6D5C" w:rsidTr="00F24813">
        <w:trPr>
          <w:trHeight w:val="78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ID 100 Mbps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4</w:t>
            </w:r>
          </w:p>
        </w:tc>
      </w:tr>
      <w:tr w:rsidR="00EF6D5C" w:rsidRPr="00EF6D5C" w:rsidTr="00F24813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eastAsia="ja-JP"/>
              </w:rPr>
              <w:t>FONECIMENTO DE LINK DE INTERNET DINÂMICO/FIBRA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Id 50 Mbps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4</w:t>
            </w:r>
          </w:p>
        </w:tc>
      </w:tr>
      <w:tr w:rsidR="00EF6D5C" w:rsidRPr="00EF6D5C" w:rsidTr="00F24813">
        <w:trPr>
          <w:trHeight w:val="7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22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Id 200 Mbps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6</w:t>
            </w:r>
          </w:p>
        </w:tc>
      </w:tr>
      <w:tr w:rsidR="00EF6D5C" w:rsidRPr="00EF6D5C" w:rsidTr="00F24813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5C" w:rsidRPr="00EF6D5C" w:rsidRDefault="00EF6D5C" w:rsidP="00EF6D5C">
            <w:pPr>
              <w:widowControl w:val="0"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Link Id 400 Mbps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D5C" w:rsidRPr="00EF6D5C" w:rsidRDefault="00EF6D5C" w:rsidP="00EF6D5C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2</w:t>
            </w:r>
          </w:p>
        </w:tc>
      </w:tr>
    </w:tbl>
    <w:p w:rsidR="00EF6D5C" w:rsidRPr="00EF6D5C" w:rsidRDefault="00EF6D5C" w:rsidP="00EF6D5C">
      <w:pPr>
        <w:keepNext/>
        <w:suppressAutoHyphens w:val="0"/>
        <w:spacing w:before="240" w:after="60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2]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O edital prevê o fornecimento de 732 links de dados, divididos entre os serviços IP e MPLS, sendo que para 236 deles não foi fornecido previamente o endereço de instalação. Entendemos que a inclusão destes links sem endereço funciona como uma garantia para a Contratante de que a Contratada deverá fornecer estes links no caso de necessidade de ampliação do serviço durante a vigência do contrato. Por outro lado, para a Contratada se torna um risco, pois não é possível a priori garantir a viabilidade econômica e técnica destas novas localidades.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Para tentar equalizar a situação solicitamos que seja considerada que a Contratada tenha a opção de não atender determinado endereço caso não possua a viabilidade técnica/econômica para tal. Neste caso, entendemos que a Contratada e a Contratante poderão negociar a instalação num novo local na proximidade que atenda a demanda de ambas.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Serão acatadas nossas solicitações?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proofErr w:type="gram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Não</w:t>
      </w:r>
      <w:proofErr w:type="gram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será atendida. A atividade fim do CISP é a segurança do Município de Niterói, não podendo abrir mão de determinadas localidades que venham a ser ponto de interesse, assim a empresa deve fornecer link preferencialmente em rede MPLS, não havendo disponibilidade poderá aceitar rede de rádio.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3]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O item 9.19 do Termo de Referência define que a latência média máxima deve ser de 10ms. Entendemos que determinados tipos de aplicação, devido as suas especificidades, dependem de uma latência muito baixa para poder funcionar corretamente. Também entendemos que o serviço atual atende a esta latência e que seria importante continuar com o mesmo nível de serviço. No entanto, pela nossa experiência com outros clientes, de mesmo porte do CISP Niterói, sabemos que a latência muito baixa não é imprescindível para este tipo de serviço. Com a latência média máxima padrão de 50ms, que é garantida por uma rede MPLS como a que será fornecida, o máximo que pode acontecer é a imagem demorar alguns milissegundos a mais para chegar na Central de Monitoramento, o que seria irrelevante para o serviço prestado. Entendemos que a flexibilização deste item beneficiará a competitividade.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Pelo exposto, solicitamos que o requisito de latência média máxima de até 50ms seja considerada como suficiente para atender a demanda do edital.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Será acatada nossa solicitação?</w:t>
      </w:r>
    </w:p>
    <w:p w:rsidR="00EF6D5C" w:rsidRPr="00EF6D5C" w:rsidRDefault="00EF6D5C" w:rsidP="00EF6D5C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right="217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Não será atendida, deverá ser conforme o edital.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4]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 item 10.11 do Termo de Referência define que a empresa arrematante deverá apresentar, no prazo máximo de 5 dias úteis, pelo menos 1 equipamento idêntico a cada um dos que forem ofertados na solução de transmissão e recepção de dados e imagens, para a realização de testes de conformidade e compatibilidade. Pela documentação não está claro como deverá ocorrer esta ‘Prova de Conceito’ (POC). Precisamos de um detalhamento maior para saber se temos como atender neste curto prazo.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A Contratante poderia enviar uma documentação específica sobre esta prova de conceito?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Pr="00EF6D5C">
        <w:rPr>
          <w:rFonts w:asciiTheme="minorHAnsi" w:eastAsia="Arial" w:hAnsiTheme="minorHAnsi" w:cstheme="minorHAnsi"/>
          <w:color w:val="FF0000"/>
          <w:sz w:val="20"/>
          <w:szCs w:val="20"/>
          <w:lang w:eastAsia="en-US"/>
        </w:rPr>
        <w:t xml:space="preserve"> 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 prova de conceito consiste em apenas conectar os equipamentos do CISP com o dispositivo da empresa vencedora do certame. </w:t>
      </w:r>
      <w:r w:rsidRPr="00EF6D5C">
        <w:rPr>
          <w:rFonts w:asciiTheme="minorHAnsi" w:eastAsia="Arial" w:hAnsiTheme="minorHAnsi" w:cstheme="minorHAnsi"/>
          <w:color w:val="FF0000"/>
          <w:sz w:val="20"/>
          <w:szCs w:val="20"/>
          <w:lang w:eastAsia="en-US"/>
        </w:rPr>
        <w:t xml:space="preserve"> </w:t>
      </w:r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Assim demonstrar a capacidade técnica e operacional de gerir os equipamentos. Não é necessário o envio de documentação, pois os equipamentos do CISP já foram apresentados as empresas interessadas no termo de referência e na visita técnica, conforme item 4.4.2.</w:t>
      </w:r>
    </w:p>
    <w:p w:rsidR="00EF6D5C" w:rsidRPr="00EF6D5C" w:rsidRDefault="00EF6D5C" w:rsidP="00EF6D5C">
      <w:pPr>
        <w:suppressAutoHyphens w:val="0"/>
        <w:spacing w:line="360" w:lineRule="auto"/>
        <w:ind w:left="507" w:right="108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 xml:space="preserve">“4.4.2 Equipamentos existentes instalados que fazem parte do parque de câmeras do </w:t>
      </w:r>
      <w:proofErr w:type="gramStart"/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CISP.”</w:t>
      </w:r>
      <w:proofErr w:type="gramEnd"/>
    </w:p>
    <w:tbl>
      <w:tblPr>
        <w:tblStyle w:val="Tabelacomgrade"/>
        <w:tblW w:w="6201" w:type="dxa"/>
        <w:jc w:val="center"/>
        <w:tblLook w:val="04A0" w:firstRow="1" w:lastRow="0" w:firstColumn="1" w:lastColumn="0" w:noHBand="0" w:noVBand="1"/>
      </w:tblPr>
      <w:tblGrid>
        <w:gridCol w:w="1703"/>
        <w:gridCol w:w="1641"/>
        <w:gridCol w:w="2857"/>
      </w:tblGrid>
      <w:tr w:rsidR="00C34800" w:rsidRPr="00EF6D5C" w:rsidTr="00F24813">
        <w:trPr>
          <w:jc w:val="center"/>
        </w:trPr>
        <w:tc>
          <w:tcPr>
            <w:tcW w:w="1703" w:type="dxa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US" w:eastAsia="ja-JP"/>
              </w:rPr>
              <w:t>Equipamentos</w:t>
            </w:r>
            <w:proofErr w:type="spellEnd"/>
          </w:p>
        </w:tc>
        <w:tc>
          <w:tcPr>
            <w:tcW w:w="1641" w:type="dxa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US" w:eastAsia="ja-JP"/>
              </w:rPr>
              <w:t>Fabricante</w:t>
            </w:r>
            <w:proofErr w:type="spellEnd"/>
          </w:p>
        </w:tc>
        <w:tc>
          <w:tcPr>
            <w:tcW w:w="2857" w:type="dxa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  <w:lang w:val="en-US" w:eastAsia="ja-JP"/>
              </w:rPr>
              <w:t>Modelo</w:t>
            </w:r>
            <w:proofErr w:type="spellEnd"/>
          </w:p>
        </w:tc>
      </w:tr>
      <w:tr w:rsidR="00C34800" w:rsidRPr="00EF6D5C" w:rsidTr="00F24813">
        <w:trPr>
          <w:jc w:val="center"/>
        </w:trPr>
        <w:tc>
          <w:tcPr>
            <w:tcW w:w="1703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Botão</w:t>
            </w:r>
            <w:proofErr w:type="spellEnd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 de </w:t>
            </w: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Alerta</w:t>
            </w:r>
            <w:proofErr w:type="spellEnd"/>
          </w:p>
        </w:tc>
        <w:tc>
          <w:tcPr>
            <w:tcW w:w="1641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Sansung</w:t>
            </w:r>
            <w:proofErr w:type="spellEnd"/>
          </w:p>
        </w:tc>
        <w:tc>
          <w:tcPr>
            <w:tcW w:w="2857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SND-6011R</w:t>
            </w:r>
          </w:p>
        </w:tc>
      </w:tr>
      <w:tr w:rsidR="00C34800" w:rsidRPr="00EF6D5C" w:rsidTr="00F24813">
        <w:trPr>
          <w:jc w:val="center"/>
        </w:trPr>
        <w:tc>
          <w:tcPr>
            <w:tcW w:w="1703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Câmera</w:t>
            </w:r>
            <w:proofErr w:type="spellEnd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Fixa</w:t>
            </w:r>
            <w:proofErr w:type="spellEnd"/>
          </w:p>
        </w:tc>
        <w:tc>
          <w:tcPr>
            <w:tcW w:w="1641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HIKVISION </w:t>
            </w:r>
          </w:p>
        </w:tc>
        <w:tc>
          <w:tcPr>
            <w:tcW w:w="2857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DS-DCD4232FWD4</w:t>
            </w:r>
          </w:p>
        </w:tc>
      </w:tr>
      <w:tr w:rsidR="00C34800" w:rsidRPr="00EF6D5C" w:rsidTr="00F24813">
        <w:trPr>
          <w:jc w:val="center"/>
        </w:trPr>
        <w:tc>
          <w:tcPr>
            <w:tcW w:w="1703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Câmera</w:t>
            </w:r>
            <w:proofErr w:type="spellEnd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Movel</w:t>
            </w:r>
            <w:proofErr w:type="spellEnd"/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641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 xml:space="preserve">XTS </w:t>
            </w:r>
          </w:p>
        </w:tc>
        <w:tc>
          <w:tcPr>
            <w:tcW w:w="2857" w:type="dxa"/>
            <w:vAlign w:val="center"/>
          </w:tcPr>
          <w:p w:rsidR="00EF6D5C" w:rsidRPr="00EF6D5C" w:rsidRDefault="00EF6D5C" w:rsidP="00EF6D5C">
            <w:pPr>
              <w:suppressAutoHyphens w:val="0"/>
              <w:spacing w:line="360" w:lineRule="auto"/>
              <w:ind w:right="108"/>
              <w:jc w:val="both"/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</w:pPr>
            <w:r w:rsidRPr="00EF6D5C">
              <w:rPr>
                <w:rFonts w:asciiTheme="minorHAnsi" w:eastAsia="Arial" w:hAnsiTheme="minorHAnsi" w:cstheme="minorHAnsi"/>
                <w:sz w:val="20"/>
                <w:szCs w:val="20"/>
                <w:lang w:val="en-US" w:eastAsia="ja-JP"/>
              </w:rPr>
              <w:t>SD20XDN3MP-WP</w:t>
            </w:r>
          </w:p>
        </w:tc>
      </w:tr>
    </w:tbl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5]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Independente 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da resposta do QUESTIONAMENTO 4, entendemos que a verificação do funcionamento da solução idêntica a oferecida poderá ser realizada num site externo, em outro cliente de mesmo porte da Contratada.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 Contratante aceitaria esta solução?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: Não será aceito. Deverá ser conforme o edital.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6]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>Apenas para ratificação de entendimento, considerando os itens 4.2.3 e 10.1 do Termo de Referência, e</w:t>
      </w: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 xml:space="preserve">ntendemos que os pontos concentradores, bases, médios e remotos, serão fornecidos pela Contratante com suas infraestruturas instaladas e operacionais, incluindo os bastidores, racks, baterias, alimentação elétrica e esteira/dutos para passagem das fibras entre o DG e o ponto de instalação, no caso dos pontos indoor, sendo a Contratada responsável pelo fornecimento da infraestrutura externa necessária para interligação do seu ponto de presença até o local de instalação. 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Está correto o entendimento?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: Sim, está correto o entendimento. Vale ressaltar que os pontos concentradores do CISP e Prefeit</w:t>
      </w:r>
      <w:r w:rsidR="00C3480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ura 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já se encontram instalados em um CPD com estrutura funcional. 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7]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 xml:space="preserve">Apenas para ratificação de entendimento, entendemos que o prazo de 30 dias, especificado no item 10.1 do Termo de Referência, aplica-se somente ao Ponto Concentrador, sendo que para os outros pontos, o prazo é de até 180 dias conforme descrito no item 13.1. 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>Está correto o entendimento?</w:t>
      </w:r>
    </w:p>
    <w:p w:rsidR="00EF6D5C" w:rsidRPr="00EF6D5C" w:rsidRDefault="00EF6D5C" w:rsidP="00C34800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Não está correto, deve ser conforme o termo de referência no item </w:t>
      </w:r>
      <w:r w:rsidRPr="00EF6D5C">
        <w:rPr>
          <w:rFonts w:asciiTheme="minorHAnsi" w:eastAsia="Calibri" w:hAnsiTheme="minorHAnsi" w:cstheme="minorHAnsi"/>
          <w:i/>
          <w:iCs/>
          <w:sz w:val="20"/>
          <w:szCs w:val="20"/>
          <w:lang w:eastAsia="en-US"/>
        </w:rPr>
        <w:t>“</w:t>
      </w:r>
      <w:r w:rsidRPr="00EF6D5C">
        <w:rPr>
          <w:rFonts w:asciiTheme="minorHAnsi" w:eastAsia="Arial" w:hAnsiTheme="minorHAnsi" w:cstheme="minorHAnsi"/>
          <w:i/>
          <w:iCs/>
          <w:sz w:val="20"/>
          <w:szCs w:val="20"/>
          <w:lang w:eastAsia="ja-JP"/>
        </w:rPr>
        <w:t>4.3.1, que diz os pontos médios a serem definidos pela PMN poderão estar fora dos limites geográficos do município de Niterói, desde que plenamente fundamentados e justificados os motivos técnicos e operacionais. A instalação e manutenção de cada Ponto Médio serão cobradas a partir da efetivação de sua operação, a qual deverá ocorrer no prazo máximo de 60 dias corridos após a solicitação da PMN”.</w:t>
      </w: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 xml:space="preserve"> </w:t>
      </w:r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O prazo poderá ser estendido por mais 30 (trinta) dias, totalizando o prazo máximo de 90 (noventa) dias.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8]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O item 14.3 do edital trata do envido da fatura, dando a entender que seria uma fatura única.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 xml:space="preserve">O objeto do edital prevê a contratação de 2 serviços distintos, o de conectividade e o de manutenção do sistema de câmeras. Por sua vez, o serviço de conectividade inclui um serviço adicional de monitoramento, que possui característica tributária diferente do fornecimento de conectividade. Entendemos que o serviço poderá ser faturado através de até 3 faturas, sendo uma para o enlace de dados e aluguel dos roteadores, outra para o serviço de monitoramento e a última para o serviço de manutenção do sistema de monitoramento e das câmeras. 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Está correto nosso entendimento?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color w:val="00B0F0"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Não está correto. </w:t>
      </w:r>
      <w:r w:rsidRPr="00EF6D5C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eastAsia="en-US"/>
        </w:rPr>
        <w:t>Cumpre esclarecer que tanto a fatura quanto a nota fiscal são únicos e que a discriminação poderá ser apresentada por relatórios. Os pagamentos e notas fiscais realizados pela Prefeitura são únicos por contrato.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color w:val="00B0F0"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9]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>Apenas para ratificação de entendimento, d</w:t>
      </w: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 xml:space="preserve">e acordo com o edital, o link de acesso do Ponto Concentrador pode ser atendido através de dupla abordagem de acesso via fibra, junto com 1 (um) roteador CPE. Entendemos que esta configuração se aplica aos dois pontos concentradores atuais, no CPD do CISP e na Prefeitura. 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Está correto o entendimento?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/>
          <w:sz w:val="20"/>
          <w:szCs w:val="20"/>
          <w:lang w:eastAsia="ja-JP"/>
        </w:rPr>
        <w:t>RESPOSTA</w:t>
      </w: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: Não está correto. Os pontos concentradores devem ser necessariamente atendidos por dupla abordagem de acesso via fibra.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10]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 xml:space="preserve">De acordo com o item 4.5 do TR e seus subitens, os Pontos Móveis deverão ser implantados em até 72 horas e somente poderão ser faturados durante o período que estiverem ativos. Apenas para ratificação de entendimento, entendemos que podemos instalar antecipadamente a estrutura de conectividade nos endereços informados, onde a cobrança só ocorrerá nos momentos em que a Contratante utilizar estes recursos, e caberá a própria Contratante a conexão dos seus equipamentos aos nossos </w:t>
      </w:r>
      <w:proofErr w:type="spellStart"/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CPE’s</w:t>
      </w:r>
      <w:proofErr w:type="spellEnd"/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. Está correto o entendimento?</w:t>
      </w:r>
    </w:p>
    <w:p w:rsidR="00EF6D5C" w:rsidRPr="00EF6D5C" w:rsidRDefault="00EF6D5C" w:rsidP="00EF6D5C">
      <w:pPr>
        <w:tabs>
          <w:tab w:val="left" w:pos="1080"/>
        </w:tabs>
        <w:suppressAutoHyphens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/>
          <w:sz w:val="20"/>
          <w:szCs w:val="20"/>
          <w:lang w:eastAsia="ja-JP"/>
        </w:rPr>
        <w:t>RESPOST</w:t>
      </w: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A: Está correto o entendimento, desde que seja de fácil acesso a conexão dos equipamentos do ônibus do CISP aos equipamentos da contratante.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11]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 item 9.7.1.18.4 solicita que seja permitida a configuração remota dos elementos da rede através de TELNET ou porta de console ligada a modem. Estes tipos de acesso não são permitidos em nenhum elemento de nossa rede, por diretrizes de segurança da nossa empresa. Por isso, todos os acessos são realizados via SSH.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A Contratante concorda com esta flexibilização?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Poderá ser permitido acesso a SSH - </w:t>
      </w:r>
      <w:proofErr w:type="spell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Secure</w:t>
      </w:r>
      <w:proofErr w:type="spell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Socket Shell, desde que seja seguida todos os protocolos de segurança. Vale ressaltar que todos os acessos SSH deverão ser autorizados pela contratante, conforme item 4.9 do Termo de Referência.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[QUESTIONAMENTO 12]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 xml:space="preserve">Apenas para ratificação de entendimento, entendemos que as credenciais de acesso mencionadas no item 4.33 do TR, são relacionadas somente aos equipamentos pertencentes ao CISP.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>Está correto o entendimento?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  <w:r w:rsidRPr="00EF6D5C">
        <w:rPr>
          <w:rFonts w:asciiTheme="minorHAnsi" w:eastAsia="Arial" w:hAnsiTheme="minorHAnsi" w:cstheme="minorHAnsi"/>
          <w:b/>
          <w:bCs/>
          <w:sz w:val="20"/>
          <w:szCs w:val="20"/>
          <w:lang w:eastAsia="ja-JP"/>
        </w:rPr>
        <w:t>RESPOSTA</w:t>
      </w: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>: Está correto o entendimento.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/>
          <w:sz w:val="20"/>
          <w:szCs w:val="20"/>
          <w:u w:val="single"/>
          <w:lang w:eastAsia="ja-JP"/>
        </w:rPr>
      </w:pPr>
      <w:r w:rsidRPr="00EF6D5C">
        <w:rPr>
          <w:rFonts w:asciiTheme="minorHAnsi" w:eastAsia="Arial" w:hAnsiTheme="minorHAnsi" w:cstheme="minorHAnsi"/>
          <w:b/>
          <w:sz w:val="20"/>
          <w:szCs w:val="20"/>
          <w:u w:val="single"/>
          <w:lang w:eastAsia="ja-JP"/>
        </w:rPr>
        <w:t>QUESTIONAMENTO 13]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No edital é colocado a necessidade de implantação de aproximadamente 300 pontos remotos onde não é informado o endereço dos mesmos, com a falta desta informação nos dificulta a precificação da implantação nesses pontos, pois não sabemos se existe viabilidade técnica no futuro ponto a ser definido. Seguem as opções que viabiliza a entrega da solução nos locais ainda desconhecidos: a indicação da possível mudança do ponto para um local próximo onde haveria a viabilidade técnica, ou a prefeitura de Niterói se comprometeria a receber um estudo de viabilidade técnica/financeira para um aditivo no contrato, ou até mesmo que a Prefeitura aceite, em alguns pontos, que seja implantado com a tecnologia 5G desde que esteja comprovado sua eficácia</w:t>
      </w:r>
    </w:p>
    <w:p w:rsidR="00EF6D5C" w:rsidRPr="00EF6D5C" w:rsidRDefault="00EF6D5C" w:rsidP="00EF6D5C">
      <w:pPr>
        <w:suppressAutoHyphens w:val="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Está correto nosso entendimento?</w:t>
      </w:r>
    </w:p>
    <w:p w:rsidR="00EF6D5C" w:rsidRPr="00EF6D5C" w:rsidRDefault="00EF6D5C" w:rsidP="00EF6D5C">
      <w:pPr>
        <w:suppressAutoHyphens w:val="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Arial" w:hAnsiTheme="minorHAnsi" w:cstheme="minorHAnsi"/>
          <w:b/>
          <w:bCs/>
          <w:sz w:val="20"/>
          <w:szCs w:val="20"/>
          <w:lang w:eastAsia="ja-JP"/>
        </w:rPr>
        <w:t>RESPOSTA:</w:t>
      </w:r>
      <w:r w:rsidRPr="00EF6D5C">
        <w:rPr>
          <w:rFonts w:asciiTheme="minorHAnsi" w:eastAsia="Arial" w:hAnsiTheme="minorHAnsi" w:cstheme="minorHAnsi"/>
          <w:bCs/>
          <w:sz w:val="20"/>
          <w:szCs w:val="20"/>
          <w:lang w:eastAsia="ja-JP"/>
        </w:rPr>
        <w:t xml:space="preserve"> </w:t>
      </w:r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Não está correto. Necessariamente deve ser utilizada a Rede de alto desempenho MPLS (</w:t>
      </w:r>
      <w:proofErr w:type="spellStart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Multi</w:t>
      </w:r>
      <w:proofErr w:type="spellEnd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Protocol</w:t>
      </w:r>
      <w:proofErr w:type="spellEnd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Label</w:t>
      </w:r>
      <w:proofErr w:type="spellEnd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Switching</w:t>
      </w:r>
      <w:proofErr w:type="spellEnd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- em português, "Comutação de Rótulos Multiprotocolo"), equipamentos de infraestrutura de Rede de Transmissão e Recebimento de Dados e Imagens em fibras óticas, e para casos específicos de inviabilidade da rede de fibra ótica, devidamente comprovada, a conexão deverá utilizar rádio enlaces de micro-ondas com a quantidade máxima de um salto e sem pontos de repetição em casos de última milha. A utilização da Tecnologia 5g, poderá ser objeto de estudo de viabilidade técnica.</w:t>
      </w:r>
    </w:p>
    <w:p w:rsidR="00EF6D5C" w:rsidRPr="00EF6D5C" w:rsidRDefault="00EF6D5C" w:rsidP="00EF6D5C">
      <w:pPr>
        <w:suppressAutoHyphens w:val="0"/>
        <w:ind w:left="72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/>
          <w:sz w:val="20"/>
          <w:szCs w:val="20"/>
          <w:u w:val="single"/>
          <w:lang w:eastAsia="ja-JP"/>
        </w:rPr>
      </w:pPr>
      <w:r w:rsidRPr="00EF6D5C">
        <w:rPr>
          <w:rFonts w:asciiTheme="minorHAnsi" w:eastAsia="Arial" w:hAnsiTheme="minorHAnsi" w:cstheme="minorHAnsi"/>
          <w:b/>
          <w:sz w:val="20"/>
          <w:szCs w:val="20"/>
          <w:u w:val="single"/>
          <w:lang w:eastAsia="ja-JP"/>
        </w:rPr>
        <w:t>QUESTIONAMENTO 14]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Arial" w:hAnsiTheme="minorHAnsi" w:cstheme="minorHAnsi"/>
          <w:bCs/>
          <w:sz w:val="20"/>
          <w:szCs w:val="20"/>
          <w:lang w:eastAsia="ja-JP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É solicitado no edital que o prestador de serviço seja responsável pelo ressarcimento dos prejuízos causados sem um teto da multa a ser paga, entendemos que isto seja danoso ao contrato pois um valor muito alto pode afetar diretamente a vida financeira do contrato, entendemos que toda multa deve haver um teto relativo a parcela mensal devendo sempre haver projeção para que salários impostos e serviços operacionais sejam garantidos para que o contrato seja cumprido na sua integridade. Entendemos também que existem outras formas mais inteligentes e saudáveis para garantir a integridade do bem público como por exemplo um seguro ou até mesmo o depósito caução que já existe no contrato e uma vez que já existe também entendemos que o prestador não deveria ser duplamente multado ou penalizado.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Está correto nosso entendimento que o deposito caução obrigatório contratual poderá ser usado para cobrir tal multa?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O Item que se refere a ressarcimento não se trata de multa ou penalidade, apenas enfatiza o que prevê o Código Civil Brasileiro, ou seja, quem causa o dano deverá repará-lo. Havendo limites para o ressarcimento conforme a lei e o previsto no Item 15 do Edital, conforme abaixo: 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“15 - DAS SANÇÕES ADMINISTRATIVAS E DEMAIS PENALIDADES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 O licitante que, convocado no prazo de 05 (cinco) dias úteis,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Administração Pública, e terá o seu registro no Cadastro de Fornecedores suspenso pelo prazo de até 5 (cinco) anos, sem prejuízo das multas previstas em edital, contrato e das demais cominações legais.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15.1.1 As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condutas do contratado, verificadas pela Administração Pública contratante, para fins deste item são assim consideradas: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- </w:t>
      </w: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retardar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a execução do objeto, qualquer ação ou omissão do licitante que prejudique o bom andamento da licitação, inclusive deixar de entregar a amostra no prazo assinalado no edital, que evidencie tentativa de indução a erro no julgamento, ou que atrase a assinatura do contrato ou da ata de registro de preços;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II – </w:t>
      </w: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não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manter a proposta, a ausência de seu envio, bem como a recusa do envio 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de seu detalhamento, quando exigível, ou ainda o pedido, pelo licitante</w:t>
      </w: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da desclassificação de sua proposta, quando encerrada a etapa competitiva, desde que não esteja fundamentada na demonstração de vício ou falha na sua elaboração, que evidencie a impossibilidade de seu cumprimento;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III – falhar na execução contratual, o inadimplemento grave ou inescusável de obrigação assumida pelo contratado; 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IV – </w:t>
      </w: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fraudar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na execução contratual, a prática de qualquer ato destinado à obtenção de vantagem ilícita, induzindo ou mantendo em erro a Administração Pública; e 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V – </w:t>
      </w: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comportar-se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de modo inidôneo, a prática de atos direcionados a prejudicar o bom andamento do certame ou do contrato, tais como fraude ou frustração do caráter competitivo do procedimento licitatório, ação em conluio ou em desconformidade com a lei, indução deliberada a erro no julgamento, prestação falsa de informações, apresentação de documentação com informações inverídicas, ou que contenha emenda ou rasura, destinados a prejudicar a veracidade de seu teor original. 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15.2 Ocorrendo qualquer outra infração legal ou contratual, o contratado estará sujeito, sem prejuízo da responsabilidade civil ou criminal que couber, às seguintes penalidades, que </w:t>
      </w: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deverá(</w:t>
      </w:r>
      <w:proofErr w:type="spellStart"/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ão</w:t>
      </w:r>
      <w:proofErr w:type="spell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 ser graduada(s) de acordo com a gravidade da infração: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a) advertência;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b) multa administrativa;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c) suspensão temporária da participação em licitação e impedimento de contratar com a Administração Pública Municipal;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d) declaração de inidoneidade para licitar e contratar com a Administração Pública.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15.3 A sanção administrativa deve ser determinada de acordo com a natureza e a gravidade da falta cometida.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15.3.1 Quando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a penalidade envolver prazo ou valor, a natureza e a gravidade da falta cometida também deverão ser considerados para a sua fixação.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15.4 A imposição das penalidades é de competência exclusiva do órgão licitante.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15.4.1 A advertência e a multa, previstas nas alíneas a e b, do item 15.2, serão impostas pelo Ordenador de Despesa.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15.5 A multa administrativa, prevista na alínea b, do item 15.2: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a) corresponderá ao valor de até 5% (cinco por cento) sobre o valor do Contrato, aplicada de acordo com a gravidade da infração e proporcionalmente às parcelas não executadas;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b) poderá ser aplicada cumulativamente a qualquer outra;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c) não tem caráter compensatório e seu pagamento não exime a responsabilidade por perdas e danos das infrações cometidas;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d) deverá ser graduada conforme a gravidade da infração;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e) nas reincidências específicas, deverá corresponder ao dobro do valor da que tiver sido inicialmente imposta, observando-se sempre o limite de 20% (vinte por cento) do valor do contrato ou do empenho.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15.6 A advertência poderá ser aplicada quando a CONTRATADA não apresentar a documentação exigida nos itens 16.6 e 16.7, no prazo de 10 (dez) dias da sua exigência, o que configura a mora.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15.7 A suspensão temporária da participação em licitação e impedimento de contratar com a Administração Pública, prevista na alínea c, do item 15.2: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a) não poderá ser aplicada em prazo superior a 2 (dois) anos;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b) sem prejuízo de outras hipóteses, deverá ser aplicada quando o adjudicatário faltoso, sancionado com multa, não realizar o depósito do respectivo valor, no prazo devido.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c) será aplicada, pelo prazo de 1 (um) ano, conjuntamente à rescisão contratual, no caso de descumprimento total ou parcial do objeto, configurando inadimplemento.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15.8 A declaração de inidoneidade para licitar e contratar com a Administração Pública, prevista na alínea d, do item 15.2, perdurará pelo tempo em que os motivos determinantes da punição ou até que seja promovida a reabilitação perante a própria autoridade que aplicou a penalidade, que será concedida sempre que o contratado ressarcir a Administração Pública pelos prejuízos causados.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15.8.1 A reabilitação poderá ser requerida após 2 (dois) anos de sua aplicação.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15.9 O atraso injustificado no cumprimento das obrigações contratuais sujeitará a CONTRATADA à multa de mora de 1% (um por cento) por dia útil que exceder o prazo estipulado, a incidir sobre o valor do contrato, da nota de empenho ou do saldo não atendido, respeitado o limite do art. 412 do Código Civil, sem prejuízo da possibilidade de rescisão unilateral do contrato pelo CONTRATANTE ou da aplicação das sanções administrativas.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15.10 Se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o valor das multas previstas na alínea b, do item 15.2, e no item 15.9, aplicadas cumulativamente ou de forma independente, forem superiores ao valor da garantia prestada, além da perda desta, responderá o infrator pela sua diferença, que será descontada dos pagamentos eventualmente devidos pela Administração ou cobrada judicialmente.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15.11 A aplicação de sanção não exclui a possibilidade de rescisão administrativa do Contrato, garantido o contraditório e a defesa prévia.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15.12 A aplicação de qualquer sanção será antecedida de intimação do interessado que indicará a infração cometida, os fatos e os fundamentos legais pertinentes para a aplicação da penalidade, assim como a penalidade que se pretende imputar e o respectivo prazo e/ou valor, se for o caso.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15.12.1 Ao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interessado será garantido o contraditório e a defesa prévia.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15.12.2 A intimação do interessado deverá indicar o prazo e o local para a apresentação da defesa.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15.12.2.1 A defesa prévia do interessado será exercida no prazo de 5 (cinco) dias úteis, no caso de aplicação das penalidades previstas nas alíneas </w:t>
      </w: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a, b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e c, do item 15.2, e no prazo de 10 (dez) dias, no caso da alínea d, do item 15.2.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15.12.3 Será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emitida decisão conclusiva sobre a aplicação ou não da sanção, pela autoridade competente, devendo ser apresentada a devida motivação, com a demonstração dos fatos e dos respectivos fundamentos jurídicos.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15.13 A recusa injustificada do adjudicatário em assinar o contrato dentro do prazo estipulado pela Entidade, sem que haja justo motivo para tal, caracterizará o descumprimento total da obrigação assumida e determinará a aplicação de multa de 5% (cinco por cento) do valor total do contrato, cabendo, ainda, a aplicação das demais sanções administrativas.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15.14 Os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licitantes, adjudicatários e contratados ficarão impedidos de contratar com a Administração Pública do Município de Niterói, enquanto perdurarem os efeitos das sanções de: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a) suspensão temporária da participação em licitação e impedimento de contratar imposta pelo Município de Niterói, suas Autarquias ou Fundações (art. 87, III da Lei n° 8.666/93); 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b) impedimento de licitar e contratar imposta pelo Município de Niterói, suas Autarquias ou Fundações (art. 7° da Lei n° 10.520/02); (redação para edital de pregão);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c) declaração de inidoneidade para licitar e contratar imposta por qualquer Ente ou Entidade da Administração Federal, Estadual, Distrital e Municipal (art. 87, IV da Lei n° 8.666/93).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15.15 As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penalidades impostas aos licitantes serão registradas pela SECRETARIA MUNICIPAL DE ORDEM PÚBLICA no Cadastro de Fornecedores da Secretaria de Administração.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15.15.1 O registro mencionado no item acima deverá ser feito com a remessa do extrato de publicação no veículo de publicação dos atos oficiais do Município do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ato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de aplicação das penalidades citadas nas alíneas c e d do item 15.2, de modo a possibilitar a formalização da extensão dos seus efeitos para todos os órgãos e entidades da Administração Pública do Município de Niterói.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15.16. Comprovada a prática de ato lesivo à Administração Pública nos termos do art. 5º da Lei 12.846/13, por meio de decisão judicial transitada em julgado ou processo administrativo no âmbito da Administração Pública Direta ou Indireta de Niterói, o instrumento poderá ser rescindido sem prejuízo da aplicação da multa.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QUESTIONAMENTO 15]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No edital é colocado que mensalmente o prestador deverá emitir somente uma nota fiscal, contudo o mesmo processo licitatório permite a formação de consórcio, sendo assim entendemos que houve um erro de digitação, pois havendo formação de consórcio haverá a emissão de uma nota fiscal para cada empresa do participante.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Está correto nosso entendimento?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Não está correto. </w:t>
      </w:r>
      <w:r w:rsidRPr="00EF6D5C">
        <w:rPr>
          <w:rFonts w:asciiTheme="minorHAnsi" w:eastAsia="Calibri" w:hAnsiTheme="minorHAnsi" w:cstheme="minorHAnsi"/>
          <w:sz w:val="20"/>
          <w:szCs w:val="20"/>
          <w:shd w:val="clear" w:color="auto" w:fill="FFFFFF"/>
          <w:lang w:eastAsia="en-US"/>
        </w:rPr>
        <w:t>Cumpre esclarecer que tanto a fatura quanto a nota fiscal são únicos e que a discriminação poderá ser apresentada por relatórios. Os pagamentos e notas fiscais realizados pela Prefeitura são únicos por contrato, conforme os itens do edital a seguir: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“5.5.1 As empresas consorciadas apresentarão compromisso público ou particular de constituição do consórcio, subscrito por todas, onde deverá estar indicada a empresa líder como responsável principal perante a SECRETARIA MUNICIPAL DE ORDEM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PÚBLICA pelos atos praticados pelo consórcio, devendo constar expressamente do instrumento os poderes específicos para requerer, assumir compromissos, transigir, discordar, desistir, renunciar, receber e dar quitação, como também receber citação em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Juízo.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5.5.2 No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consórcio de que participem empresas estrangeiras e brasileiras, a empresa líder deverá ser sempre brasileira.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5.5.3 Cada um dos membros do consórcio deverá comprovar, individualmente, os requisitos de habilitação, mediante a apresentação da documentação comprobatória.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5.5.3.1 As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empresas consorciadas poderão, todavia, somar os seus quantitativos técnicos e econômico-financeiros, estes últimos na proporção da respectiva participação no consórcio, para a finalidade de atingir os limites fixados para tal objetivo neste edital.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5.5.4 As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empresas consorciadas não poderão participar isoladamente da licitação, nem em qualquer outro consórcio.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5.5.5 As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notas de empenho relativas à execução contratual serão emitidas apenas em favor da empresa líder.</w:t>
      </w:r>
    </w:p>
    <w:p w:rsidR="00EF6D5C" w:rsidRPr="00EF6D5C" w:rsidRDefault="00EF6D5C" w:rsidP="00EF6D5C">
      <w:pPr>
        <w:suppressAutoHyphens w:val="0"/>
        <w:spacing w:after="160" w:line="259" w:lineRule="auto"/>
        <w:ind w:left="1701"/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proofErr w:type="gramStart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5.5.6 Durante</w:t>
      </w:r>
      <w:proofErr w:type="gramEnd"/>
      <w:r w:rsidRPr="00EF6D5C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o procedimento licitatório e na execução do contrato, a Administração poderá exigir de qualquer das empresas consorciadas o adimplemento da obrigação pactuada pelo consórcio, bem como o valor correspondente a eventuais multas e penalizações decorrentes da inexecução do contrato. A cobrança a uma integrante do consórcio não desobriga as demais.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QUESTIONAMENTO 16]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5.1.3 Na assinatura do contrato, a vencedora do certame comprovará em até 3 (três) dias úteis, após o encerramento da sessão, a existência de 02 (dois) funcionários com Certificação no software utilizado pelo CISP, que atualmente são </w:t>
      </w:r>
      <w:proofErr w:type="spell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Verint</w:t>
      </w:r>
      <w:proofErr w:type="spell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Situational</w:t>
      </w:r>
      <w:proofErr w:type="spell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Awareness</w:t>
      </w:r>
      <w:proofErr w:type="spell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Platform 7.5 Core e </w:t>
      </w:r>
      <w:proofErr w:type="spell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Verint</w:t>
      </w:r>
      <w:proofErr w:type="spell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Nextiva</w:t>
      </w:r>
      <w:proofErr w:type="spellEnd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VMS 7.5 Core, ou versões </w:t>
      </w:r>
      <w:proofErr w:type="gram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posteriores.”</w:t>
      </w:r>
      <w:proofErr w:type="gramEnd"/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Tendo em vista a especificidade das certificações solicitadas e o prazo para sua execução, solicitamos a dilatação do prazo para apresentação das certificações para no mínimo 45 dias úteis.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Correto o entendimento de que serão aceitas as certificações de subcontratadas para atendimento desta solicitação?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Arial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.  Não será atendida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</w:t>
      </w:r>
      <w:proofErr w:type="gramStart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o</w:t>
      </w:r>
      <w:proofErr w:type="gramEnd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T.R. menciona  2(dois) técnicos, porém pode ser aceito 1 (um) técnico no prazo estipulado de 3 dias úteis conforme edital.  Vale ressaltar que conforme Item </w:t>
      </w:r>
      <w:proofErr w:type="gramStart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>5.1.3  o</w:t>
      </w:r>
      <w:proofErr w:type="gramEnd"/>
      <w:r w:rsidRPr="00EF6D5C">
        <w:rPr>
          <w:rFonts w:asciiTheme="minorHAnsi" w:eastAsia="Arial" w:hAnsiTheme="minorHAnsi" w:cstheme="minorHAnsi"/>
          <w:sz w:val="20"/>
          <w:szCs w:val="20"/>
          <w:lang w:eastAsia="en-US"/>
        </w:rPr>
        <w:t xml:space="preserve"> certificado deve ser apresentado no prazo de 3 (três) dias úteis após o encerramento da sessão, porém será aceito no mesmo prazo o comprovante de inscrição no referido curso de certificação.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QUESTIONAMENTO 17]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Recorte do Edital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Página 66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“Garantir, por um prazo de 12 (doze) meses, a continuidade do funcionamento e ampliar o SISTEMA DE MONITORAMENTO URBANO DO CENTRO INTEGRADO DE SEGURANÇA PÚBLICA (CISP) e suas interligações. Em linhas </w:t>
      </w:r>
      <w:proofErr w:type="gram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gerais:”</w:t>
      </w:r>
      <w:proofErr w:type="gramEnd"/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Tendo em vista que existem Pontos Remotos a serem instalados, está correto o entendimento de que o fornecimento de todos os equipamentos e infraestrutura para essa instalação é responsabilidade da Contratante, inclusive a instalação de poste, caso necessário, cabendo a Contratada apenas a manutenção e remanejamentos?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Está correto o entendimento, porém o item </w:t>
      </w:r>
      <w:r w:rsidRPr="00EF6D5C">
        <w:rPr>
          <w:rFonts w:asciiTheme="minorHAnsi" w:eastAsia="Arial" w:hAnsiTheme="minorHAnsi" w:cstheme="minorHAnsi"/>
          <w:sz w:val="20"/>
          <w:szCs w:val="20"/>
          <w:lang w:eastAsia="ja-JP"/>
        </w:rPr>
        <w:t>4.4.3.1 estabelece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que a contratada deverá fornecer os racks para 25 novos pontos de botões de alerta. 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</w:pPr>
      <w:r w:rsidRPr="00EF6D5C">
        <w:rPr>
          <w:rFonts w:asciiTheme="minorHAnsi" w:eastAsia="Calibri" w:hAnsiTheme="minorHAnsi" w:cstheme="minorHAnsi"/>
          <w:b/>
          <w:bCs/>
          <w:sz w:val="20"/>
          <w:szCs w:val="20"/>
          <w:u w:val="single"/>
          <w:lang w:eastAsia="en-US"/>
        </w:rPr>
        <w:t>QUESTIONAMENTO 18]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Recorte da Edital: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Página 103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“4.2.3 Os equipamentos de conexão e de energia elétrica, deverão ser instalados nos endereços acima em locais a serem designados pela PMN e o fornecimento de cabos, estruturas de fixação e infraestrutura necessária serão fornecidos pela CONTRATADA, seguindo as normas brasileiras de instalação de redes e de infraestrutura elétrica (NBR 14565:2019, NBR 16415:2015 e NBR5410:2004</w:t>
      </w:r>
      <w:proofErr w:type="gramStart"/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).”</w:t>
      </w:r>
      <w:proofErr w:type="gramEnd"/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>Correto o entendimento de que o custeio da energia elétrica e sua viabilização para atendimento a todos os pontos é responsabilidade da CONTRATANTE, sendo a CONTRATADA responsável única e exclusivamente a disponibilização de energia elétrica para o maquinário de uso na execução dos serviços prestados?</w:t>
      </w: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EF6D5C" w:rsidRPr="00EF6D5C" w:rsidRDefault="00EF6D5C" w:rsidP="00EF6D5C">
      <w:pPr>
        <w:suppressAutoHyphens w:val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F6D5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RESPOSTA:</w:t>
      </w:r>
      <w:r w:rsidRPr="00EF6D5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Sim, está correto o entendimento. </w:t>
      </w:r>
    </w:p>
    <w:p w:rsidR="00EF6D5C" w:rsidRPr="00EF6D5C" w:rsidRDefault="00EF6D5C" w:rsidP="00EF6D5C">
      <w:pPr>
        <w:suppressAutoHyphens w:val="0"/>
        <w:spacing w:after="160" w:line="259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C71EF1" w:rsidRPr="00C34800" w:rsidRDefault="000346FF" w:rsidP="000346FF">
      <w:pPr>
        <w:pStyle w:val="NormalWeb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bookmarkStart w:id="1" w:name="_GoBack"/>
      <w:bookmarkEnd w:id="1"/>
      <w:r w:rsidRPr="00C34800">
        <w:rPr>
          <w:rFonts w:asciiTheme="minorHAnsi" w:hAnsiTheme="minorHAnsi" w:cstheme="minorHAnsi"/>
          <w:sz w:val="20"/>
          <w:szCs w:val="20"/>
          <w:bdr w:val="none" w:sz="0" w:space="0" w:color="auto" w:frame="1"/>
        </w:rPr>
        <w:t> </w:t>
      </w:r>
      <w:r w:rsidR="00C71EF1" w:rsidRPr="00C34800">
        <w:rPr>
          <w:rFonts w:asciiTheme="minorHAnsi" w:hAnsiTheme="minorHAnsi" w:cstheme="minorHAnsi"/>
          <w:bCs/>
          <w:i/>
          <w:sz w:val="20"/>
          <w:szCs w:val="20"/>
        </w:rPr>
        <w:t>Atenciosamente,</w:t>
      </w:r>
    </w:p>
    <w:p w:rsidR="00C71EF1" w:rsidRPr="00C34800" w:rsidRDefault="00C71EF1" w:rsidP="000346F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B0A11" w:rsidRPr="00C34800" w:rsidRDefault="000346FF" w:rsidP="000346FF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C3480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Municipal de </w:t>
      </w:r>
      <w:r w:rsidR="00EF6D5C" w:rsidRPr="00C34800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Ordem Pública</w:t>
      </w:r>
    </w:p>
    <w:sectPr w:rsidR="00CB0A11" w:rsidRPr="00C34800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EF6D5C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46FF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4800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6D5C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23E32F33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59"/>
    <w:rsid w:val="00EF6D5C"/>
    <w:rPr>
      <w:rFonts w:eastAsia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0D7E-4B6D-4055-BD59-4BBEBA5C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4178</Words>
  <Characters>22888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2022-02-01T17:45:00Z</cp:lastPrinted>
  <dcterms:created xsi:type="dcterms:W3CDTF">2022-09-20T11:11:00Z</dcterms:created>
  <dcterms:modified xsi:type="dcterms:W3CDTF">2022-09-20T11:16:00Z</dcterms:modified>
</cp:coreProperties>
</file>